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E20" w:rsidRDefault="00946E20" w:rsidP="00946E20">
      <w:pPr>
        <w:widowControl/>
        <w:shd w:val="clear" w:color="auto" w:fill="FFFFFF"/>
        <w:spacing w:line="560" w:lineRule="exact"/>
        <w:ind w:right="960"/>
        <w:rPr>
          <w:rFonts w:ascii="黑体" w:eastAsia="黑体" w:hAnsi="黑体" w:cs="宋体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>附件1</w:t>
      </w:r>
    </w:p>
    <w:p w:rsidR="00946E20" w:rsidRDefault="00946E20" w:rsidP="00946E20">
      <w:pPr>
        <w:spacing w:beforeLines="100" w:before="312" w:afterLines="100" w:after="312"/>
        <w:jc w:val="center"/>
        <w:rPr>
          <w:rFonts w:ascii="Times New Roman" w:eastAsia="方正小标宋简体" w:hAnsi="Times New Roman" w:cs="Times New Roman"/>
          <w:kern w:val="0"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kern w:val="0"/>
          <w:sz w:val="36"/>
          <w:szCs w:val="36"/>
        </w:rPr>
        <w:t>预研</w:t>
      </w:r>
      <w:r>
        <w:rPr>
          <w:rFonts w:ascii="Times New Roman" w:eastAsia="方正小标宋简体" w:hAnsi="Times New Roman" w:cs="Times New Roman"/>
          <w:kern w:val="0"/>
          <w:sz w:val="36"/>
          <w:szCs w:val="36"/>
        </w:rPr>
        <w:t>课题选题</w:t>
      </w:r>
      <w:r>
        <w:rPr>
          <w:rFonts w:ascii="Times New Roman" w:eastAsia="方正小标宋简体" w:hAnsi="Times New Roman" w:cs="Times New Roman" w:hint="eastAsia"/>
          <w:kern w:val="0"/>
          <w:sz w:val="36"/>
          <w:szCs w:val="36"/>
        </w:rPr>
        <w:t>参考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1、“强富美高”新江苏建设新境界内涵与再出发战略研究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2、</w:t>
      </w:r>
      <w:r>
        <w:rPr>
          <w:rFonts w:ascii="仿宋_GB2312" w:eastAsia="仿宋_GB2312" w:hAnsi="等线" w:hint="eastAsia"/>
          <w:spacing w:val="-6"/>
          <w:sz w:val="28"/>
          <w:szCs w:val="28"/>
        </w:rPr>
        <w:t>江苏全面建成小康社会与开启基本实现现代化新征程有机衔接研究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3、江苏政府治理能力、治理绩效测度与评价研究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4、严峻复杂形势下江苏经济增长合理区间研究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5、加快构建江苏自主可控、安全高效先进制造业体系关键问题研究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6、区块链技术与江苏实体经济深度融合研究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7、数字经济助推江苏转型升级对策研究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8、江苏重塑城乡空间结构研究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9、江苏区域中心城市和城市群辐射带动力提升路径研究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10、江苏推进安全生产治理体系和治理能力现代化建设研究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11、后疫情时代如何推动江苏经济高质量发展研究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12、长三角生态绿色一体化发展示范区制度创新研究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13、江苏构建城市</w:t>
      </w:r>
      <w:proofErr w:type="gramStart"/>
      <w:r>
        <w:rPr>
          <w:rFonts w:ascii="仿宋_GB2312" w:eastAsia="仿宋_GB2312" w:hAnsi="等线" w:hint="eastAsia"/>
          <w:sz w:val="28"/>
          <w:szCs w:val="28"/>
        </w:rPr>
        <w:t>安全发展</w:t>
      </w:r>
      <w:proofErr w:type="gramEnd"/>
      <w:r>
        <w:rPr>
          <w:rFonts w:ascii="仿宋_GB2312" w:eastAsia="仿宋_GB2312" w:hAnsi="等线" w:hint="eastAsia"/>
          <w:sz w:val="28"/>
          <w:szCs w:val="28"/>
        </w:rPr>
        <w:t>体系关键问题研究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14、江苏产业升级、环境保护、安全生产系统化一体推进研究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15、江苏推进省内全域一体化目标与路径研究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16、江苏民生领域存在的突出问题及治理对策研究</w:t>
      </w:r>
    </w:p>
    <w:p w:rsidR="00946E20" w:rsidRDefault="00946E20" w:rsidP="00946E20">
      <w:pPr>
        <w:widowControl/>
        <w:spacing w:line="560" w:lineRule="exact"/>
        <w:jc w:val="lef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17、江苏如何做好应对外部环境变化的中长期战略准备研究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18、江苏“十四五”规划的要点及重点对策研究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19、扎实推进长三角一体化高质量发展研究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20、江苏推进双循环新发展格局的路径研究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21、高起点推进美丽江苏建设的对策研究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lastRenderedPageBreak/>
        <w:t>22、江苏推进向海发展战略研究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23、筑牢美丽江苏的生态基底研究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24、用文化润泽美丽江苏的对策研究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25、以江河湖海为脉络优化江苏空间格局研究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26、巩固稳定江苏外贸外资基本盘研究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27、江苏培育壮大发展新动能研究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28、江苏统筹推进产业基础高级化和产业链现代化研究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29、江苏“卡脖子”技术突围路径研究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30、江苏构建自主可控的综合交通运输体系建设研究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31、提升政府应对突发公共事件能力研究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32、江苏“大网铁”社会治理机制的经验及启示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33、持续提升江苏党的建设质量研究</w:t>
      </w:r>
    </w:p>
    <w:p w:rsidR="00946E20" w:rsidRDefault="00946E20" w:rsidP="00946E20">
      <w:pPr>
        <w:spacing w:line="560" w:lineRule="exact"/>
        <w:ind w:left="560" w:hangingChars="200" w:hanging="560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34、如何避免国企中党建工作出现“四化”现象，有效开展“党建”活动研究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35、如何不断增强基层党组织的政治功能和组织力研究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36、后疫情时代政府部门如何帮助民营企业走出困境研究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37、如何更好地把政协制度优势转化为基层社会治理效能研究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38、如何通过机制建设提升基层治理体系和治理能力现代化水平研究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39、如何全面提升江苏公共卫生治理体系和治理能力研究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40、如何加快推进县域治理体系和治理能力现代化建设的研究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41、行政管理体制改革中事业单位改革问题研究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42、如何改变基层层出不穷的形式主义问题研究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43、老旧小区改造工作存在的问题及对策研究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44、如何优化干部动员机制，推动干部担当作为研究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lastRenderedPageBreak/>
        <w:t>45、如何寻求村级治理中行政与自治结合的平衡点研究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46、如何在基层打通容错纠错机制执行的“最后一公里”研究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47、如何加强对脱贫边缘</w:t>
      </w:r>
      <w:proofErr w:type="gramStart"/>
      <w:r>
        <w:rPr>
          <w:rFonts w:ascii="仿宋_GB2312" w:eastAsia="仿宋_GB2312" w:hAnsi="等线" w:hint="eastAsia"/>
          <w:sz w:val="28"/>
          <w:szCs w:val="28"/>
        </w:rPr>
        <w:t>户保障</w:t>
      </w:r>
      <w:proofErr w:type="gramEnd"/>
      <w:r>
        <w:rPr>
          <w:rFonts w:ascii="仿宋_GB2312" w:eastAsia="仿宋_GB2312" w:hAnsi="等线" w:hint="eastAsia"/>
          <w:sz w:val="28"/>
          <w:szCs w:val="28"/>
        </w:rPr>
        <w:t>的研究</w:t>
      </w:r>
    </w:p>
    <w:p w:rsidR="00946E20" w:rsidRDefault="00946E20" w:rsidP="00946E20">
      <w:pPr>
        <w:spacing w:line="560" w:lineRule="exact"/>
        <w:ind w:left="560" w:hangingChars="200" w:hanging="560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48、初创小</w:t>
      </w:r>
      <w:proofErr w:type="gramStart"/>
      <w:r>
        <w:rPr>
          <w:rFonts w:ascii="仿宋_GB2312" w:eastAsia="仿宋_GB2312" w:hAnsi="等线" w:hint="eastAsia"/>
          <w:sz w:val="28"/>
          <w:szCs w:val="28"/>
        </w:rPr>
        <w:t>微企业</w:t>
      </w:r>
      <w:proofErr w:type="gramEnd"/>
      <w:r>
        <w:rPr>
          <w:rFonts w:ascii="仿宋_GB2312" w:eastAsia="仿宋_GB2312" w:hAnsi="等线" w:hint="eastAsia"/>
          <w:sz w:val="28"/>
          <w:szCs w:val="28"/>
        </w:rPr>
        <w:t>和创业者如何找扶持政策并享受政府提供的创业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 xml:space="preserve">　　服务研究</w:t>
      </w:r>
    </w:p>
    <w:p w:rsidR="00946E20" w:rsidRDefault="00946E20" w:rsidP="00946E20">
      <w:pPr>
        <w:spacing w:line="560" w:lineRule="exact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49、</w:t>
      </w:r>
      <w:r>
        <w:rPr>
          <w:rFonts w:ascii="仿宋_GB2312" w:eastAsia="仿宋_GB2312" w:hAnsi="等线" w:hint="eastAsia"/>
          <w:spacing w:val="-6"/>
          <w:sz w:val="28"/>
          <w:szCs w:val="28"/>
        </w:rPr>
        <w:t>如何以提升行政效能为核心，科学设计政府绩效管理体制机制研究</w:t>
      </w:r>
    </w:p>
    <w:p w:rsidR="00946E20" w:rsidRDefault="00946E20" w:rsidP="00946E20">
      <w:pPr>
        <w:spacing w:line="560" w:lineRule="exact"/>
        <w:ind w:left="560" w:hangingChars="200" w:hanging="560"/>
        <w:rPr>
          <w:rFonts w:ascii="仿宋_GB2312" w:eastAsia="仿宋_GB2312" w:hAnsi="等线"/>
          <w:sz w:val="28"/>
          <w:szCs w:val="28"/>
        </w:rPr>
      </w:pPr>
      <w:r>
        <w:rPr>
          <w:rFonts w:ascii="仿宋_GB2312" w:eastAsia="仿宋_GB2312" w:hAnsi="等线" w:hint="eastAsia"/>
          <w:sz w:val="28"/>
          <w:szCs w:val="28"/>
        </w:rPr>
        <w:t>50、新形势下开展群众工作如何走出“政府买单，群众不买账”的困境研究</w:t>
      </w:r>
    </w:p>
    <w:p w:rsidR="00CD5AF4" w:rsidRPr="00946E20" w:rsidRDefault="00CD5AF4">
      <w:bookmarkStart w:id="0" w:name="_GoBack"/>
      <w:bookmarkEnd w:id="0"/>
    </w:p>
    <w:sectPr w:rsidR="00CD5AF4" w:rsidRPr="00946E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E20"/>
    <w:rsid w:val="00946E20"/>
    <w:rsid w:val="00CD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E2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E2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184</Words>
  <Characters>1052</Characters>
  <Application>Microsoft Office Word</Application>
  <DocSecurity>0</DocSecurity>
  <Lines>8</Lines>
  <Paragraphs>2</Paragraphs>
  <ScaleCrop>false</ScaleCrop>
  <Company>Microsoft</Company>
  <LinksUpToDate>false</LinksUpToDate>
  <CharactersWithSpaces>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2020-10-23T03:08:00Z</dcterms:created>
  <dcterms:modified xsi:type="dcterms:W3CDTF">2020-10-23T03:09:00Z</dcterms:modified>
</cp:coreProperties>
</file>